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การแจ้งเคลื่อนย้ายอาคารตามมาตรา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ผูใดจะเคลื่อนย้ายอาคารโดยไม</w:t>
      </w:r>
      <w:r w:rsidRPr="00586D86">
        <w:rPr>
          <w:rFonts w:ascii="Tahoma" w:hAnsi="Tahoma" w:cs="Tahoma"/>
          <w:noProof/>
          <w:sz w:val="20"/>
          <w:szCs w:val="20"/>
        </w:rPr>
        <w:t>ยื่นคําขอรับใบอนุญาตจากเจ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องถิ่นก็ได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 </w:t>
      </w:r>
      <w:r w:rsidRPr="00586D86">
        <w:rPr>
          <w:rFonts w:ascii="Tahoma" w:hAnsi="Tahoma" w:cs="Tahoma"/>
          <w:noProof/>
          <w:sz w:val="20"/>
          <w:szCs w:val="20"/>
        </w:rPr>
        <w:t>โดยการแจ้งต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อเจ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เมื่อผู้แจ้งได้ดำเนินการแจ้ง แล้ว 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 ในกรณีที่เจ้าพนักงานท้องถิ่นตรวจพบในภายหลังว่าผู้แจ้งได้แจ้งข้อมูลหรือยื่นเอกสารไว้ไม่ถูกต้องหรือไม่ครบถ้วนตามที่ระบุไว้ใน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วันนับแต่วันที่ได้รับแจ้งคำสั่งดังกล่าว และภายใน </w:t>
      </w:r>
      <w:r w:rsidRPr="00586D86">
        <w:rPr>
          <w:rFonts w:ascii="Tahoma" w:hAnsi="Tahoma" w:cs="Tahoma"/>
          <w:noProof/>
          <w:sz w:val="20"/>
          <w:szCs w:val="20"/>
        </w:rPr>
        <w:t>120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หรือนับแต่วันที่เริ่มการเคลื่อนย้ายอาคารตามที่ได้แจ้งไว้ ถ้าเจ้าพนักงานท้องถิ่นได้ตรวจพบว่าการเคลื่อนย้ายอาคารที่ได้แจ้งไว้ แผนผังบริเวณ แบบแปลนรายการประกอบแบบแปลนหรือรายการคำนวณของอาคารที่ได้ยื่นไว้ตามมาตรา ๓๙ 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ทราบโดยเร็ว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องค์การบริหารส่วนตำบลห้วยบง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ตำบลห้วยบง   อำเภอด่านขุนทด จังหวัดนครราชสีมา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30210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0-4439-3018  www.hauybongkorat.go.th/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แจ้งเคลื่อนย้ายอาคาร จ่ายค่าธรรมเนียม 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734128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แบบการแจ้งเคลื่อนย้ายอาคาร ตามที่เจ้าพนักงานท้องถิ่นกำหนด 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274577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592015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979047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631025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45737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894373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528319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แผนผังบริเวณ แบบแปลนและรายการประกอบแบบแปลน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212908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582848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671799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148A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699821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30210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จังองค์การบริหารส่วนตำบลห้วยบง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ตำบลห้วยบง   อำเภอด่านขุนทด จังหวัดนครราชสีมา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30210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0-4439-3018  www.hauybongkorat.go.th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การแจ้งเคลื่อนย้ายอาคารตามมาตรา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การแจ้งเคลื่อนย้ายอาคารตามมาตรา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 องค์การบริหารส่วนตำบลห้วยบง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148A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24DB9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4DC5-703F-4B3B-B397-2982BD6D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KKD 2011 V.2</cp:lastModifiedBy>
  <cp:revision>2</cp:revision>
  <dcterms:created xsi:type="dcterms:W3CDTF">2016-06-09T12:47:00Z</dcterms:created>
  <dcterms:modified xsi:type="dcterms:W3CDTF">2016-06-09T12:47:00Z</dcterms:modified>
</cp:coreProperties>
</file>